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Зарегистрировано в Минюсте России 5 апреля 2018 г. N 50642</w:t>
      </w:r>
    </w:p>
    <w:p w:rsidR="00541444" w:rsidRPr="00541444" w:rsidRDefault="00541444" w:rsidP="005414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ПРИКАЗ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от 14 марта 2018 г. N 144н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"ВРАЧ - СУДЕБНО-МЕДИЦИНСКИЙ ЭКСПЕРТ"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"Врач - судебно-медицинский эксперт".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Министр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от 14 марта 2018 г. N 144н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541444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ВРАЧ - СУДЕБНО-МЕДИЦИНСКИЙ ЭКСПЕРТ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2"/>
      </w:tblGrid>
      <w:tr w:rsidR="00541444" w:rsidRPr="00541444">
        <w:tc>
          <w:tcPr>
            <w:tcW w:w="6463" w:type="dxa"/>
            <w:tcBorders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423</w:t>
            </w:r>
          </w:p>
        </w:tc>
      </w:tr>
      <w:tr w:rsidR="00541444" w:rsidRPr="00541444">
        <w:tc>
          <w:tcPr>
            <w:tcW w:w="6463" w:type="dxa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541444" w:rsidRPr="00541444">
        <w:tc>
          <w:tcPr>
            <w:tcW w:w="7030" w:type="dxa"/>
            <w:tcBorders>
              <w:bottom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судебно-медицинской экспертизы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02.001</w:t>
            </w:r>
          </w:p>
        </w:tc>
      </w:tr>
      <w:tr w:rsidR="00541444" w:rsidRPr="00541444">
        <w:tc>
          <w:tcPr>
            <w:tcW w:w="7030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41444" w:rsidRPr="005414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обстоятельств, подлежащих доказыванию по конкретному делу, в медицинских организациях судебно-медицинскими экспертами в соответствии с законодательством Российской Федерации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судебно-экспертной деятельности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3175"/>
        <w:gridCol w:w="1814"/>
        <w:gridCol w:w="2551"/>
      </w:tblGrid>
      <w:tr w:rsidR="00541444" w:rsidRPr="0054144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41444" w:rsidRPr="00541444">
        <w:tc>
          <w:tcPr>
            <w:tcW w:w="151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6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29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7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541444" w:rsidRPr="0054144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86.90.2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организаций судебно-медицинской экспертизы</w:t>
            </w:r>
          </w:p>
        </w:tc>
      </w:tr>
      <w:tr w:rsidR="00541444" w:rsidRPr="00541444">
        <w:tc>
          <w:tcPr>
            <w:tcW w:w="192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9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30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814"/>
        <w:gridCol w:w="1020"/>
        <w:gridCol w:w="3175"/>
        <w:gridCol w:w="794"/>
        <w:gridCol w:w="1644"/>
      </w:tblGrid>
      <w:tr w:rsidR="00541444" w:rsidRPr="00541444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функции</w:t>
            </w:r>
          </w:p>
        </w:tc>
      </w:tr>
      <w:tr w:rsidR="00541444" w:rsidRPr="005414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541444" w:rsidRPr="0054144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(исследования) трупа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41444" w:rsidRPr="0054144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(обследования) в отношении живого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41444" w:rsidRPr="0054144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41444" w:rsidRPr="0054144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41444" w:rsidRPr="0054144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Регистрационный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 - судебно-медицинский эксперт </w:t>
            </w:r>
            <w:hyperlink w:anchor="Par531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специалитет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одной из специальностей: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"Лечебное дело", "Педиатрия", "Медицинская биохимия" </w:t>
            </w:r>
            <w:hyperlink w:anchor="Par532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подготовка в интернатуре и (или) ординатуре по специальности "Судебно-медицинская экспертиза" или профессиональная переподготовка по специальности "Судебно-медицинская экспертиза" при наличии подготовки в интернатуре и (или) ординатуре по специальности "Акушерство и гинекология", "Детская онкология", "Детская урология-андрология", "Детская хирургия", "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Колопроктология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", "Нейрохирургия", "Онкология", "Оториноларингология", "Пластическая хирургия", "Патологическая анатомия", "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Сердечно-сосудистая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хирургия", "Торакальная хирургия", "Травматология и ортопедия", "Урология", "Хирургия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", "Челюстно-лицевая хирургия"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533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</w:t>
            </w:r>
            <w:hyperlink w:anchor="Par534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специалиста по специальности "Судебно-медицинская экспертиза"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535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536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537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вебинары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);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тренинги в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симуляционных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центрах;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 </w:t>
            </w:r>
            <w:hyperlink w:anchor="Par538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, принципов врачебной этики и деонтологии в работе с лицами (их законными представителями), в отношении которых проводится судебно-медицинская экспертиза, и коллегами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законодательства Российской Федерации в сфере охраны здоровья и иных нормативных правовых актов,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определяющих деятельность медицинских организаций и медицинских работников, в рамках государственной судебно-экспертной деятельности, программы государственных гарантий бесплатного оказания гражданам медицинской помощи, основных положений уголовно-процессуального, уголовного, гражданского процессуального и гражданского, административного законодательства Российской Федерации о порядке производства судебно-медицинской экспертизы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82"/>
        <w:gridCol w:w="4932"/>
      </w:tblGrid>
      <w:tr w:rsidR="00541444" w:rsidRPr="005414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541444" w:rsidRPr="005414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Врачи-специалисты</w:t>
            </w:r>
          </w:p>
        </w:tc>
      </w:tr>
      <w:tr w:rsidR="00541444" w:rsidRPr="005414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539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 - судебно-медицинский эксперт</w:t>
            </w:r>
          </w:p>
        </w:tc>
      </w:tr>
      <w:tr w:rsidR="00541444" w:rsidRPr="0054144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40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541444" w:rsidRPr="0054144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20480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Врач - судебно-медицинский эксперт</w:t>
            </w:r>
          </w:p>
        </w:tc>
      </w:tr>
      <w:tr w:rsidR="00541444" w:rsidRPr="0054144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541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3.30.05.01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Медицинская биохимия</w:t>
            </w:r>
          </w:p>
        </w:tc>
      </w:tr>
      <w:tr w:rsidR="00541444" w:rsidRPr="0054144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541444" w:rsidRPr="0054144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Pr="00541444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(исследования) трупа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Участие в осмотре трупа на месте его обнаружения (происшествия)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Изучение документов (постановления или определения о назначении экспертизы, иных материалов дела), представленных органом или лицом, назначившим судебно-медицинскую экспертизу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Планирование, определение порядка, объема судебно-медицинской экспертизы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наружного исследования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внутреннего исследования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Изъятие и направление объектов от трупа и его частей для дополнительного инструментального и (или) лабораторного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 приобщение к материалам судебно-медицинской экспертизы результатов дополнительных инструментальных и (или) лабораторных исследований объектов от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в сфере государственной судебно-экспертной деятельности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Участие в уголовном, гражданском, административном судопроизводстве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осмотр трупа на месте его обнаружения с повреждениями различного происхождения (происшествия), а также: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при внебольничном производстве аборта;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обнаружении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трупа плода и новорожденного;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обнаружении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трупа, личность которого не установлена;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обнаружении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частей трупа;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обнаружении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скелетированного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, кремированного трупа, трупа с поздними трупными изменениями;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эксгумированного трупа;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массовой гибели людей в чрезвычайных ситуациях;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подозрении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особо опасные инфекции, ВИЧ-инфекцию, СПИД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Описывать состояние предметов одежды и обуви на трупе, их повреждения и загрязнения; предметы, находящиеся на трупе, его частях и в непосредственной близости от них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следы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Оказывать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Изучать, анализировать и интерпретировать информацию, полученную из документов, представленных органом или лицом, назначившим судебно-медицинскую экспертизу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Производить судебно-медицинскую экспертизу (исследование) трупа и его частей в случаях смерти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повреждений твердыми тупыми предметами;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транспортной травмы;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повреждений острыми предметами;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огнестрельных повреждений и взрывной травмы;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кислородного голодания, вызванного внешними факторами, поражения атмосферным и техническим электричеством, высокой и низкой температурой, высоким и низким барометрическим давлением;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действия ионизирующего излучения;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отравлений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Производить судебно-медицинскую экспертизу (исследование) трупа и его частей в случаях массовой гибели людей при чрезвычайных ситуациях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Производить судебно-медицинскую экспертизу (исследование) неопознанных,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скелетированных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, эксгумированных, кремированных трупов, трупов в состоянии поздних трупных изменений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Производить судебно-медицинскую экспертизу (исследование) трупа плода и новорожденного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судебно-медицинскую экспертизу (исследование) трупа в случаях ненасильственной смерти от различных заболеваний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Проводить судебно-медицинскую экспертизу (исследование) трупа с подозрением на особо опасные инфекции, ВИЧ-инфекцию, СПИД в соответствии с нормативными правовыми документами и санитарными правилами по безопасности работы с микроорганизмами соответствующих групп патогенности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При наружном исследовании трупа и его частей: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устанавливать и исследовать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суправитальные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реакции, трупные изменения;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применять инструментальные и лабораторные методы определения давности наступления смерти;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исследовать антропологический тип, пол, возраст, рост, телосложение трупа и его частей;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описывать признаки внешности методом словесного портрета;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фиксировать морфологические признаки повреждений;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исследовать, в том числе и с оптическими средствами, измерять, описывать, фотографировать, зарисовывать (схематически) повреждения на контурных схемах частей тела человека;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производить изъятие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Исследовать предметы, доставленные с трупом и его частями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Изучать, интерпретировать и анализировать результаты наружного исследования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Планировать и определять порядок и объем проведения внутреннего исследования трупа и его частей, руководствуясь выявленными повреждениями, патологическими изменениями, имеющимися сведениями об обстоятельствах дела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при исследовании трупа приемы секционной техники, выполнять дополнительные диагностические пробы у секционного стола в соответствии с порядком организации и производства судебно-медицинских экспертиз в государственных судебно-экспертных учреждениях Российской Федерации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Планировать и определять объем дополнительных инструментальных и (или) лабораторных исследований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Производить забор объектов для производства дополнительных лабораторных и инструментальных исследований, заполнять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соответствующие направления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 и интерпретировать результаты внутреннего исследования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 и интерпретировать полученные результаты дополнительных инструментальных и (или) лабораторных исследований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 и интерпретировать результаты проведенной судебно-медицинской экспертизы (исследования) трупа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давность наступления смерти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характер и локализацию повреждений на трупе; тяжесть вреда, причиненного здоровью; наличие причинной связи между повреждениями и наступлением смерти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Изучать, анализировать и интерпретировать результаты проведенной судебно-медицинской экспертизы (исследования) трупа в случаях смертельного исхода в медицинской организации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причину смерти, формулировать судебно-медицинский диагноз, выводы (заключение) судебно-медицинской экспертизы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Сопоставлять заключительный клинический и судебно-медицинский диагнозы, определять причины и категорию расхождения заключительного клинического и судебно-медицинского диагнозов</w:t>
            </w:r>
          </w:p>
        </w:tc>
      </w:tr>
      <w:tr w:rsidR="00541444" w:rsidRPr="00541444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своей работе медицинские изделия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Нормативные правовые акты и методические документы, регламентирующие производство судебно-медицинской экспертизы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Организация, структура, штаты и оснащение медицинских организаций, осуществляющих производство судебно-медицинских экспертиз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законодательства Российской Федерации к порядку изъятия и заготовки органов и (или) тканей человека для целей трансплантации, а также для клинических, научных и учебно-методических целей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организации и производства судебно-медицинских экспертиз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Танатология: определение, основные направления судебно-медицинской танатологии, умирание и смерть, новая концепция смерти (смерть мозга);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Особенности осмотра трупов при различных видах смерти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Разрушение трупа и его частей под воздействием внешних факторов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проведения наружного исследования трупа и его частей: установление антропологической и половой характеристики трупа; описание признаков внешности методом словесного портрета, установление наличия трупных явлений и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суправитальных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реакций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исследования предметов, доставленных с трупом и его частями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Правила судебной фотографии, видеосъемки, зарисовки повреждений на контурных схемах частей тела человека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Виды и объем инструментальных и (или) лабораторных исследований объектов биологического и иного происхождения в зависимости от выявленных повреждений, патологических изменений и вопросов, поставленных органом или лицом, назначившим судебно-медицинскую экспертизу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изъятия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и порядок проведения внутреннего исследования трупа и его частей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производства судебно-медицинской экспертизы эксгумированного трупа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судебно-медицинской экспертизы дефектов оказания медицинской помощи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Методы определения вида внешнего воздействия, последовательности и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прижизненности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происхождения повреждений, давности их образования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инструментальные и лабораторные методы исследования, используемые при судебно-медицинской экспертизе механических повреждений; причины смерти человека при механических повреждениях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Повреждения острыми предметами: механизм образования и морфологические особенности повреждений от действия предметов с режущими, колющими, колюще-режущими, рубящими, комбинированными свойствами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Повреждения твердыми тупыми предметами: морфогенез повреждений различных органов и тканей; клинические и патоморфологические проявления черепно-мозговой травмы; вопросы судебно-медицинской экспертизы автомобильной травмы, травмы от падения с высоты, железнодорожной травмы, а также авиационной, мотоциклетной, тракторной травмы, травмы на водном транспорте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Огнестрельные повреждения: повреждающие факторы выстрела и механизм образования огнестрельного повреждения; общая и частная морфология огнестрельного повреждения; взрывная травма: поражающие факторы, морфологические признаки, особенности исследования трупа; лабораторные методы исследования, применяемые при экспертизе огнестрельной и взрывной травмы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Виды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гипоксических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состояний и причины их развития, классификация, морфологические признаки, причины смерти; механическая асфиксия и утопление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Патоморфологические изменения тканей и органов при поражениях техническим и атмосферным электричеством, местном и общем действии низкой и высокой температуры, воздейств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ии ио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низирующего излучения, резких изменений внешнего давления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Классификация ядов; действие отравляющих, наркотических,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токсикоманических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веществ на организм, их клинические и морфологические проявления, особенности производства судебно-медицинских экспертиз (исследований)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Признаки новорожденности,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доношенности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зрелости, жизнеспособности,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живорожденности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; причины смерти в ант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е-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интра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и постнатальном периодах; особенности судебно-медицинского исследования трупов плодов и новорожденных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Заболевания, в том числе ВИЧ-инфекция, СПИД (этиология, патогенез, морфогенез, основные клинические проявления, осложнения, исходы и причины смерти),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патоморфоз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; методика и порядок производства судебно-медицинской экспертизы (исследования) в случаях смерти от заболеваний; принципы судебно-медицинской диагностики ненасильственной смерти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проявления ВИЧ-инфекц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ии и ее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морфологические признаки: клиническая классификация; синдромы, встречающиеся при ВИЧ-инфекции; оппортунистические инфекции, их морфологические проявления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организации и производства судебно-медицинских экспертиз (исследований) трупа с подозрением на особо опасные инфекции, ВИЧ-инфекцию, СПИД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Нормативные правовые документы и санитарные правила по безопасности работы с микроорганизмами соответствующих групп патогенности, ВИЧ-инфекцией, СПИД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Особенности судебно-медицинской экспертизы трупов неизвестных лиц, фрагментированных, расчлененных,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скелетированных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, кремированных трупов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Международная статистическая классификация болезней и проблем, связанных со здоровьем (далее - МКБ)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(обследования) в отношении живого лица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Изучение документов, представленных органом или лицом, назначившим судебно-медицинскую экспертизу (обследование) в отношении живого лица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Планирование, определение порядка, объема судебно-медицинской экспертизы (обследования) в отношении живого лица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Медицинское обследование лица, в отношении которого назначена судебно-медицинская экспертиза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Забор и направление объектов для дополнительных инструментальных и (или) лабораторных исследований в установленном порядке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 приобщение к материалам судебно-медицинской экспертизы результатов дополнительных инструментальных и (или) лабораторных исследований объектов, а также поступивших дополнительных материалов дела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Участие в уголовном, гражданском, административном 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Анализировать, интерпретировать и приобщать информацию, полученную при изучении документов, представленных органом или лицом, назначившим судебно-медицинскую экспертизу (обследование)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методику медицинского обследования живого лица, в отношении которого проводится судебно-медицинская экспертиза (обследование)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характер и локализацию повреждений у живых лиц, в отношении которых проводится судебно-медицинская экспертиза (обследование)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степень тяжести вреда, причиненного здоровью; применять медицинские критерии квалифицирующих признаков определения степени тяжести вреда, причиненного здоровью, в отношении живых лиц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Устанавливать возраст лица, в отношении которого проводится судебно-медицинская экспертиза (обследование)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методику медицинского обследования живых лиц в связи с совершением преступлений против половой неприкосновенности и половой свободы личности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Производить забор объектов в случаях преступлений против половой неприкосновенности и половой свободы личности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 и интерпретировать полученные результаты дополнительных инструментальных и (или) лабораторных исследований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Участвовать в производстве следственных действий, предусмотренных уголовно-процессуальным законодательством Российской Федерации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медицинские изделия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организации и производства судебно-медицинских экспертиз в отношении живого лица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Судебно-медицинская экспертиза тяжести вреда, причиненного здоровью; квалифицирующие признаки тяжести вреда, причиненного здоровью; нормативные правовые документы, регламентирующие определение степени тяжести вреда, причиненного здоровью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Задачи судебно-медицинского эксперта при исследовании повреждений у живого лица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Особенности судебно-медицинской экспертизы (обследования) живого лица при повреждениях тупыми, острыми предметами, стрелковым оружием, в случаях отравления ядом, кислородного голодания, поражения атмосферным и техническим электричеством, высокой и низкой температурой, высоким и низким барометрическим давлением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Особенности производства судебно-медицинской экспертизы при определении тяжести вреда здоровью в случаях прерывания беременности, психического расстройства, неизгладимого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обезображения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лица, заболевания наркоманией или токсикоманией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Установление состояния здоровья; определение понятий "аггравация", "симуляция", искусственные болезни и самоповреждения, методика экспертизы определения состояния здоровья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проведения медицинского обследования мужчин и женщин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Лабораторные,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физикальные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инструментальные методы, используемые при судебно-медицинской экспертизе по поводу половых преступлений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Возрастная морфология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проявления заболеваний и состояний, вызванных воздействием физических, химических, биологических и психогенных факторов внешней среды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Судебно-медицинская экспертиза утраты трудоспособности: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определение понятий, порядок организации и производства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судебно-гистологического исследования объектов биологического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медико-криминалистической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судебно-биологической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генетической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Производство судебно-биохимической экспертизы (исследования) объектов биологического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Консультативное сопровождение на этапе интерпретации результатов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Участие в уголовном, гражданском, административном 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Изучать, анализировать, интерпретировать и приобщать информацию, полученную из документов, представленных органом или лицом, назначившим судебно-медицинскую экспертизу (исследование)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пригодность вещественных доказательств и объектов биологического и иного происхождения для проведения лабораторного и инструментального экспертного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Планировать, определять порядок, объем и проводить лабораторные и инструментальные экспертные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Анализировать, интерпретировать полученные результаты лабораторного и инструментального экспертных исследований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Формулировать и обосновывать экспертные выводы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взятия, упаковки, направления, транспортировки, хранения вещественных доказательств и объектов биологического и иного происхождения, предоставляемых на лабораторные и инструментальные экспертные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Методы лабораторных и инструментальных экспертных исследований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судебно-гистологического отделения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Особенности взятия объектов для производства судебно-гистологического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специальных окрасок и дополнительных методов исследования с учетом поставленной цели; приготовление препаратов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Основы микроскопического исследования биологического материала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Патоморфологические микроскопические изменения в тканях травматического и нетравматического генеза при различных видах насильственной смерти и при подозрении на нее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Микроскопические признаки патологических процессов внутренних органов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Гистологические признаки давности образования повреждений, давности течения патологических процессов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медико-криминалистического отделения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производства медико-криминалистической экспертизы (исследования)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Судебно-медицинские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трасологические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Судебно-медицинские баллистические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Судебно-медицинские исследования по отождествлению личности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Судебно-медицинские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микрологические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Судебно-медицинские исследования по реконструкции событий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Методы и технические приемы медико-криминалистического исследования вещественных доказательств и объектов биологического и иного происхождения для решения диагностических, идентификационных и ситуационных экспертных задач: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подготовительные;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наблюдения и фиксации свойств объектов;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моделирования;</w:t>
            </w:r>
          </w:p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 аналитические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производства спектрографической экспертизы; методы спектрального анализа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судебно-биологического отделения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производства судебно-биологической экспертизы (исследования)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Методы судебно-биологического исследования вещественных доказательств и объектов биологического и иного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судебно-биологического экспертного исследования крови, спермы, слюны, пота и мочи: методы обнаружения, определение наличия и групповой принадлежности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Судебно-биологическое исследование волос, ногтей, зубов человеческого организма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Судебно-биологическое исследование органов, тканей, частей фрагментированного,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скелетированного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, кремированного трупа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производства судебно-цитологической экспертизы (исследования): объекты судебно-цитологического исследования; вопросы, решаемые при проведении судебно-цитологических исследований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молекулярно-генетического отделения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производства генетической экспертизы (исследования) с целью установления принадлежности следов и иных объектов биологического происхождения, идентификации личности и установления биологического родства, индивидуализации человека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Методы молекулярно-генетической индивидуализации человека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Предметы генетической экспертизы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Этапы выполнения генетической экспертизы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Генетическая экспертиза с целью идентификации личности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Генетическая экспертиза по поводу спорного происхождения детей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судебно-биохимического отделения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Порядок производства биохимической экспертизы (исследования)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объектов биологического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Методы биохимического исследования объектов биологического происхождения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Биохимические показатели при нозологических формах, наиболее часто встречающихся в судебно-медицинской практике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A/04.8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своей работы и отчета о ней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лиц, в отношении которых проводится судебно-медицинская экспертиза, и сведений, составляющих врачебную тайну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Оформлять медицинское свидетельство о смерти (медицинское свидетельство о перинатальной смерти) в установленном порядке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 учетом действующей МКБ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Оформлять заключения эксперта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Работать с персональными данными лиц, в отношении которых проводится судебно-медицинская экспертиза (исследование), и сведениями, составляющими врачебную тайну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Анализировать показатели смертности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Представлять медико-статистические показатели для отчета о деятельности медицинской организации, осуществляющей производство судебно-медицинских экспертиз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судебно-экспертных медицинских организациях, осуществляющих производство судебно-медицинских экспертиз, в том числе в форме электронного документа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Порядок приема и регистрации материалов судебно-медицинских экспертиз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конфликтологии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медицинских организациях, осуществляющих производство судебно-медицинских экспертиз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медицинского персонала в медицинских организациях, осуществляющих производство судебно-медицинских экспертиз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855"/>
        <w:gridCol w:w="624"/>
        <w:gridCol w:w="624"/>
        <w:gridCol w:w="1603"/>
        <w:gridCol w:w="680"/>
      </w:tblGrid>
      <w:tr w:rsidR="00541444" w:rsidRPr="00541444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A/05.8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61"/>
        <w:gridCol w:w="711"/>
        <w:gridCol w:w="1608"/>
        <w:gridCol w:w="1247"/>
        <w:gridCol w:w="2268"/>
      </w:tblGrid>
      <w:tr w:rsidR="00541444" w:rsidRPr="00541444"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1444" w:rsidRPr="00541444">
        <w:tc>
          <w:tcPr>
            <w:tcW w:w="2041" w:type="dxa"/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Регистрационный </w:t>
            </w: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541444" w:rsidRPr="00541444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жалоб и анамнеза у пациентов (их родственников или законных представителей)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физикального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признаки внезапного прекращения кровообращения и/или дыхания</w:t>
            </w:r>
          </w:p>
        </w:tc>
      </w:tr>
      <w:tr w:rsidR="00541444" w:rsidRPr="00541444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541444" w:rsidRPr="0054144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7"/>
        <w:gridCol w:w="4654"/>
      </w:tblGrid>
      <w:tr w:rsidR="00541444" w:rsidRPr="0054144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Профессиональная некоммерческая организация "Ассоциация судебно-медицинских экспертов", город Москва</w:t>
            </w:r>
          </w:p>
        </w:tc>
      </w:tr>
      <w:tr w:rsidR="00541444" w:rsidRPr="00541444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Президент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Клевно</w:t>
            </w:r>
            <w:proofErr w:type="spell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Владимир Александрович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8561"/>
      </w:tblGrid>
      <w:tr w:rsidR="00541444" w:rsidRPr="005414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541444" w:rsidRPr="005414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ГБУЗ МО "Московский областной научно-исследовательский клинический институт имени М.Ф. Владимирского", город Москва</w:t>
            </w:r>
          </w:p>
        </w:tc>
      </w:tr>
      <w:tr w:rsidR="00541444" w:rsidRPr="005414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ФГБОУ </w:t>
            </w:r>
            <w:proofErr w:type="gramStart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ВО</w:t>
            </w:r>
            <w:proofErr w:type="gramEnd"/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"Российский национальный исследовательский медицинский университет имени Н.И. Пирогова" Минздрава России, город Москва</w:t>
            </w:r>
          </w:p>
        </w:tc>
      </w:tr>
      <w:tr w:rsidR="00541444" w:rsidRPr="0054144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4" w:rsidRPr="00541444" w:rsidRDefault="00541444" w:rsidP="005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44">
              <w:rPr>
                <w:rFonts w:ascii="Arial" w:hAnsi="Arial" w:cs="Arial"/>
                <w:b/>
                <w:bCs/>
                <w:sz w:val="20"/>
                <w:szCs w:val="20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541444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529"/>
      <w:bookmarkEnd w:id="1"/>
      <w:r w:rsidRPr="00541444">
        <w:rPr>
          <w:rFonts w:ascii="Arial" w:hAnsi="Arial" w:cs="Arial"/>
          <w:b/>
          <w:bCs/>
          <w:sz w:val="20"/>
          <w:szCs w:val="20"/>
        </w:rPr>
        <w:t xml:space="preserve">&lt;1&gt; Общероссийский </w:t>
      </w:r>
      <w:hyperlink r:id="rId19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530"/>
      <w:bookmarkEnd w:id="2"/>
      <w:r w:rsidRPr="00541444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20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531"/>
      <w:bookmarkEnd w:id="3"/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21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532"/>
      <w:bookmarkEnd w:id="4"/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22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541444">
        <w:rPr>
          <w:rFonts w:ascii="Arial" w:hAnsi="Arial" w:cs="Arial"/>
          <w:b/>
          <w:bCs/>
          <w:sz w:val="20"/>
          <w:szCs w:val="20"/>
        </w:rPr>
        <w:t>., регистрационный N 47273).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533"/>
      <w:bookmarkEnd w:id="5"/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&lt;5&gt; </w:t>
      </w:r>
      <w:hyperlink r:id="rId23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5414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534"/>
      <w:bookmarkEnd w:id="6"/>
      <w:r w:rsidRPr="00541444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24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535"/>
      <w:bookmarkEnd w:id="7"/>
      <w:r w:rsidRPr="00541444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25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536"/>
      <w:bookmarkEnd w:id="8"/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26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41444">
        <w:rPr>
          <w:rFonts w:ascii="Arial" w:hAnsi="Arial" w:cs="Arial"/>
          <w:b/>
          <w:bCs/>
          <w:sz w:val="20"/>
          <w:szCs w:val="20"/>
        </w:rPr>
        <w:t>Минздравсоцразвития</w:t>
      </w:r>
      <w:proofErr w:type="spellEnd"/>
      <w:r w:rsidRPr="00541444">
        <w:rPr>
          <w:rFonts w:ascii="Arial" w:hAnsi="Arial" w:cs="Arial"/>
          <w:b/>
          <w:bCs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5414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России 21 октября 2011 </w:t>
      </w:r>
      <w:r w:rsidRPr="00541444">
        <w:rPr>
          <w:rFonts w:ascii="Arial" w:hAnsi="Arial" w:cs="Arial"/>
          <w:b/>
          <w:bCs/>
          <w:sz w:val="20"/>
          <w:szCs w:val="20"/>
        </w:rPr>
        <w:lastRenderedPageBreak/>
        <w:t>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 w:rsidRPr="00541444">
        <w:rPr>
          <w:rFonts w:ascii="Arial" w:hAnsi="Arial" w:cs="Arial"/>
          <w:b/>
          <w:bCs/>
          <w:sz w:val="20"/>
          <w:szCs w:val="20"/>
        </w:rPr>
        <w:t xml:space="preserve"> 62н/49н (зарегистрирован Минюстом России 2 марта 2018 г., регистрационный N 50237).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537"/>
      <w:bookmarkEnd w:id="9"/>
      <w:r w:rsidRPr="00541444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27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7002, 2012, N 14, ст. 1553; 2015, N 1, ст. 42; N 29, ст. 4363).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538"/>
      <w:bookmarkEnd w:id="10"/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 xml:space="preserve">&lt;10&gt; </w:t>
      </w:r>
      <w:hyperlink r:id="rId28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Статьи 13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29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71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 w:rsidRPr="005414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41444">
        <w:rPr>
          <w:rFonts w:ascii="Arial" w:hAnsi="Arial" w:cs="Arial"/>
          <w:b/>
          <w:bCs/>
          <w:sz w:val="20"/>
          <w:szCs w:val="20"/>
        </w:rPr>
        <w:t>N 29, ст. 4356).</w:t>
      </w:r>
      <w:proofErr w:type="gramEnd"/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539"/>
      <w:bookmarkEnd w:id="11"/>
      <w:r w:rsidRPr="00541444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540"/>
      <w:bookmarkEnd w:id="12"/>
      <w:r w:rsidRPr="00541444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30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541444" w:rsidRPr="00541444" w:rsidRDefault="00541444" w:rsidP="005414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541"/>
      <w:bookmarkEnd w:id="13"/>
      <w:r w:rsidRPr="00541444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31" w:history="1">
        <w:r w:rsidRPr="00541444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541444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444" w:rsidRPr="00541444" w:rsidRDefault="00541444" w:rsidP="0054144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44"/>
    <w:rsid w:val="00541444"/>
    <w:rsid w:val="008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3ED21D4E36D421A6B53338AE298DF98ECB3C1081212E7EC682C5C5024F13508C6B4F284EFEB1Cq2f0I" TargetMode="External"/><Relationship Id="rId13" Type="http://schemas.openxmlformats.org/officeDocument/2006/relationships/hyperlink" Target="consultantplus://offline/ref=D653ED21D4E36D421A6B53338AE298DF9BE6B5CC041412E7EC682C5C5024F13508C6B4F284EFEB15q2f6I" TargetMode="External"/><Relationship Id="rId18" Type="http://schemas.openxmlformats.org/officeDocument/2006/relationships/hyperlink" Target="consultantplus://offline/ref=D653ED21D4E36D421A6B53338AE298DF98E4B2C70D1212E7EC682C5C5024F13508C6B4F284EEE91Dq2f7I" TargetMode="External"/><Relationship Id="rId26" Type="http://schemas.openxmlformats.org/officeDocument/2006/relationships/hyperlink" Target="consultantplus://offline/ref=D653ED21D4E36D421A6B53338AE298DF98ECB2C6091212E7EC682C5C50q2f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53ED21D4E36D421A6B53338AE298DF9BE3B7C30F1B12E7EC682C5C50q2f4I" TargetMode="External"/><Relationship Id="rId7" Type="http://schemas.openxmlformats.org/officeDocument/2006/relationships/hyperlink" Target="consultantplus://offline/ref=D653ED21D4E36D421A6B53338AE298DF9BE2B7CC081112E7EC682C5C50q2f4I" TargetMode="External"/><Relationship Id="rId12" Type="http://schemas.openxmlformats.org/officeDocument/2006/relationships/hyperlink" Target="consultantplus://offline/ref=D653ED21D4E36D421A6B53338AE298DF9BE6B5CC041412E7EC682C5C5024F13508C6B4F284EAEF1Dq2f1I" TargetMode="External"/><Relationship Id="rId17" Type="http://schemas.openxmlformats.org/officeDocument/2006/relationships/hyperlink" Target="consultantplus://offline/ref=D653ED21D4E36D421A6B53338AE298DF98E4B2C70D1212E7EC682C5C5024F13508C6B4F284EEE91Dq2f3I" TargetMode="External"/><Relationship Id="rId25" Type="http://schemas.openxmlformats.org/officeDocument/2006/relationships/hyperlink" Target="consultantplus://offline/ref=D653ED21D4E36D421A6B53338AE298DF98EDB9CD051512E7EC682C5C5024F13508C6B4F284EBEC1Cq2f8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53ED21D4E36D421A6B53338AE298DF98E4B2C70D1212E7EC682C5C5024F13508C6B4F284EEEA15q2f9I" TargetMode="External"/><Relationship Id="rId20" Type="http://schemas.openxmlformats.org/officeDocument/2006/relationships/hyperlink" Target="consultantplus://offline/ref=D653ED21D4E36D421A6B53338AE298DF98ECB3C1081212E7EC682C5C50q2f4I" TargetMode="External"/><Relationship Id="rId29" Type="http://schemas.openxmlformats.org/officeDocument/2006/relationships/hyperlink" Target="consultantplus://offline/ref=D653ED21D4E36D421A6B53338AE298DF98ECB2C30A1412E7EC682C5C5024F13508C6B4F284EAE81Cq2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3ED21D4E36D421A6B53338AE298DF9BE2B7CC081112E7EC682C5C50q2f4I" TargetMode="External"/><Relationship Id="rId11" Type="http://schemas.openxmlformats.org/officeDocument/2006/relationships/hyperlink" Target="consultantplus://offline/ref=D653ED21D4E36D421A6B53338AE298DF9BE2B7CC081112E7EC682C5C5024F13508C6B4F284EAEC1Aq2f3I" TargetMode="External"/><Relationship Id="rId24" Type="http://schemas.openxmlformats.org/officeDocument/2006/relationships/hyperlink" Target="consultantplus://offline/ref=D653ED21D4E36D421A6B53338AE298DF98E5B1C7091312E7EC682C5C50q2f4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653ED21D4E36D421A6B53338AE298DF9BE2B7CC081112E7EC682C5C5024F13508C6B4F284EAEC1Aq2f3I" TargetMode="External"/><Relationship Id="rId15" Type="http://schemas.openxmlformats.org/officeDocument/2006/relationships/hyperlink" Target="consultantplus://offline/ref=D653ED21D4E36D421A6B53338AE298DF98E4B2C70D1212E7EC682C5C50q2f4I" TargetMode="External"/><Relationship Id="rId23" Type="http://schemas.openxmlformats.org/officeDocument/2006/relationships/hyperlink" Target="consultantplus://offline/ref=D653ED21D4E36D421A6B53338AE298DF9BECB5C7051712E7EC682C5C50q2f4I" TargetMode="External"/><Relationship Id="rId28" Type="http://schemas.openxmlformats.org/officeDocument/2006/relationships/hyperlink" Target="consultantplus://offline/ref=D653ED21D4E36D421A6B53338AE298DF98ECB2C30A1412E7EC682C5C5024F13508C6B4F284EAEE1Cq2f3I" TargetMode="External"/><Relationship Id="rId10" Type="http://schemas.openxmlformats.org/officeDocument/2006/relationships/hyperlink" Target="consultantplus://offline/ref=D653ED21D4E36D421A6B53338AE298DF9BE2B7CC081112E7EC682C5C50q2f4I" TargetMode="External"/><Relationship Id="rId19" Type="http://schemas.openxmlformats.org/officeDocument/2006/relationships/hyperlink" Target="consultantplus://offline/ref=D653ED21D4E36D421A6B53338AE298DF9BE2B7CC081112E7EC682C5C50q2f4I" TargetMode="External"/><Relationship Id="rId31" Type="http://schemas.openxmlformats.org/officeDocument/2006/relationships/hyperlink" Target="consultantplus://offline/ref=D653ED21D4E36D421A6B53338AE298DF98E4B2C70D1212E7EC682C5C50q2f4I" TargetMode="External"/><Relationship Id="rId4" Type="http://schemas.openxmlformats.org/officeDocument/2006/relationships/hyperlink" Target="consultantplus://offline/ref=D653ED21D4E36D421A6B53338AE298DF98ECB0CD0B1412E7EC682C5C5024F13508C6B4qFfAI" TargetMode="External"/><Relationship Id="rId9" Type="http://schemas.openxmlformats.org/officeDocument/2006/relationships/hyperlink" Target="consultantplus://offline/ref=D653ED21D4E36D421A6B53338AE298DF98ECB3C1081212E7EC682C5C50q2f4I" TargetMode="External"/><Relationship Id="rId14" Type="http://schemas.openxmlformats.org/officeDocument/2006/relationships/hyperlink" Target="consultantplus://offline/ref=D653ED21D4E36D421A6B53338AE298DF9BE6B5CC041412E7EC682C5C5024F13508C6B4F284EFEA1Cq2f1I" TargetMode="External"/><Relationship Id="rId22" Type="http://schemas.openxmlformats.org/officeDocument/2006/relationships/hyperlink" Target="consultantplus://offline/ref=D653ED21D4E36D421A6B53338AE298DF98E4B9C2051B12E7EC682C5C50q2f4I" TargetMode="External"/><Relationship Id="rId27" Type="http://schemas.openxmlformats.org/officeDocument/2006/relationships/hyperlink" Target="consultantplus://offline/ref=D653ED21D4E36D421A6B53338AE298DF98EDB9CD051512E7EC682C5C5024F13508C6B4F284E8E91Dq2f6I" TargetMode="External"/><Relationship Id="rId30" Type="http://schemas.openxmlformats.org/officeDocument/2006/relationships/hyperlink" Target="consultantplus://offline/ref=D653ED21D4E36D421A6B53338AE298DF9BE6B5CC041412E7EC682C5C5024F13508C6B4F284EAEF1Dq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6249</Words>
  <Characters>35621</Characters>
  <Application>Microsoft Office Word</Application>
  <DocSecurity>0</DocSecurity>
  <Lines>296</Lines>
  <Paragraphs>83</Paragraphs>
  <ScaleCrop>false</ScaleCrop>
  <Company/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2018-04-18T08:31:00Z</dcterms:created>
  <dcterms:modified xsi:type="dcterms:W3CDTF">2018-04-18T08:32:00Z</dcterms:modified>
</cp:coreProperties>
</file>