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0FD" w:rsidRDefault="00847762">
      <w:pPr>
        <w:pStyle w:val="Standard"/>
        <w:jc w:val="right"/>
      </w:pPr>
      <w:bookmarkStart w:id="0" w:name="_GoBack"/>
      <w:bookmarkEnd w:id="0"/>
      <w:r>
        <w:t xml:space="preserve"> </w:t>
      </w:r>
      <w:r>
        <w:rPr>
          <w:rStyle w:val="a0"/>
          <w:noProof/>
          <w:lang w:val="en-US" w:eastAsia="en-US" w:bidi="ar-SA"/>
        </w:rPr>
        <w:drawing>
          <wp:inline distT="0" distB="0" distL="0" distR="0">
            <wp:extent cx="2743200" cy="1152363"/>
            <wp:effectExtent l="0" t="0" r="0" b="0"/>
            <wp:docPr id="1" name="Picture 1" descr="C:\Users\dem_s.MED\AppData\Local\Microsoft\Windows\INetCache\Content.Word\ЛоГо МИАЦ ЦОЗ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523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820FD" w:rsidRDefault="00C820FD">
      <w:pPr>
        <w:pStyle w:val="Standard"/>
        <w:tabs>
          <w:tab w:val="left" w:pos="10202"/>
        </w:tabs>
        <w:jc w:val="center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</w:pPr>
    </w:p>
    <w:p w:rsidR="00C820FD" w:rsidRDefault="00C820FD">
      <w:pPr>
        <w:pStyle w:val="Standard"/>
        <w:tabs>
          <w:tab w:val="left" w:pos="10202"/>
        </w:tabs>
        <w:jc w:val="center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</w:pPr>
    </w:p>
    <w:p w:rsidR="00C820FD" w:rsidRDefault="00847762">
      <w:pPr>
        <w:pStyle w:val="Standard"/>
        <w:tabs>
          <w:tab w:val="left" w:pos="10202"/>
        </w:tabs>
        <w:jc w:val="center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Факторы риска здоровья.</w:t>
      </w:r>
    </w:p>
    <w:p w:rsidR="00C820FD" w:rsidRDefault="00C820FD">
      <w:pPr>
        <w:pStyle w:val="Standard"/>
        <w:tabs>
          <w:tab w:val="left" w:pos="10202"/>
        </w:tabs>
        <w:jc w:val="center"/>
        <w:rPr>
          <w:rFonts w:eastAsia="Calibri" w:cs="Times New Roman"/>
          <w:sz w:val="32"/>
          <w:szCs w:val="32"/>
          <w:lang w:eastAsia="ru-RU"/>
        </w:rPr>
      </w:pPr>
    </w:p>
    <w:p w:rsidR="00C820FD" w:rsidRDefault="00847762">
      <w:pPr>
        <w:pStyle w:val="Standard"/>
        <w:tabs>
          <w:tab w:val="left" w:pos="10202"/>
        </w:tabs>
        <w:jc w:val="center"/>
        <w:rPr>
          <w:rFonts w:eastAsia="Calibri" w:cs="Times New Roman"/>
          <w:sz w:val="32"/>
          <w:szCs w:val="32"/>
          <w:lang w:eastAsia="ru-RU"/>
        </w:rPr>
      </w:pPr>
      <w:r>
        <w:rPr>
          <w:rFonts w:eastAsia="Calibri" w:cs="Times New Roman"/>
          <w:sz w:val="32"/>
          <w:szCs w:val="32"/>
          <w:lang w:eastAsia="ru-RU"/>
        </w:rPr>
        <w:t>(памятка для населения)</w:t>
      </w:r>
    </w:p>
    <w:p w:rsidR="00C820FD" w:rsidRDefault="00C820FD">
      <w:pPr>
        <w:pStyle w:val="Standard"/>
        <w:tabs>
          <w:tab w:val="left" w:pos="10202"/>
        </w:tabs>
        <w:jc w:val="center"/>
        <w:rPr>
          <w:rFonts w:eastAsia="Calibri" w:cs="Times New Roman"/>
          <w:sz w:val="32"/>
          <w:szCs w:val="32"/>
          <w:lang w:eastAsia="ru-RU"/>
        </w:rPr>
      </w:pPr>
    </w:p>
    <w:p w:rsidR="00C820FD" w:rsidRDefault="00847762">
      <w:pPr>
        <w:pStyle w:val="Standard"/>
        <w:tabs>
          <w:tab w:val="left" w:pos="10202"/>
        </w:tabs>
      </w:pPr>
      <w:r>
        <w:rPr>
          <w:rStyle w:val="a0"/>
          <w:noProof/>
          <w:lang w:val="en-US" w:eastAsia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3813</wp:posOffset>
            </wp:positionH>
            <wp:positionV relativeFrom="paragraph">
              <wp:posOffset>-2542</wp:posOffset>
            </wp:positionV>
            <wp:extent cx="2785747" cy="1857164"/>
            <wp:effectExtent l="0" t="0" r="0" b="0"/>
            <wp:wrapThrough wrapText="bothSides">
              <wp:wrapPolygon edited="0">
                <wp:start x="0" y="0"/>
                <wp:lineTo x="0" y="21275"/>
                <wp:lineTo x="21418" y="21275"/>
                <wp:lineTo x="21418" y="0"/>
                <wp:lineTo x="0" y="0"/>
              </wp:wrapPolygon>
            </wp:wrapThrough>
            <wp:docPr id="2" name="Рисунок 5" descr="https://avatars.mds.yandex.net/i?id=6494e5677022d64a725abf7c518bc908cad2e7c8-9506109-images-thumbs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5747" cy="18571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820FD" w:rsidRDefault="00C820FD">
      <w:pPr>
        <w:pStyle w:val="Standard"/>
        <w:tabs>
          <w:tab w:val="left" w:pos="10202"/>
        </w:tabs>
        <w:rPr>
          <w:rFonts w:eastAsia="Calibri" w:cs="Times New Roman"/>
          <w:sz w:val="32"/>
          <w:szCs w:val="32"/>
          <w:lang w:eastAsia="ru-RU"/>
        </w:rPr>
      </w:pPr>
    </w:p>
    <w:p w:rsidR="00C820FD" w:rsidRDefault="00C820FD">
      <w:pPr>
        <w:pStyle w:val="Standard"/>
        <w:tabs>
          <w:tab w:val="left" w:pos="10202"/>
        </w:tabs>
        <w:jc w:val="center"/>
      </w:pPr>
    </w:p>
    <w:p w:rsidR="00C820FD" w:rsidRDefault="00847762">
      <w:pPr>
        <w:pStyle w:val="Standard"/>
        <w:tabs>
          <w:tab w:val="left" w:pos="10202"/>
        </w:tabs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В настоящее время во всем мире на первый план вышли хронические</w:t>
      </w:r>
    </w:p>
    <w:p w:rsidR="00C820FD" w:rsidRDefault="00847762">
      <w:pPr>
        <w:pStyle w:val="Standard"/>
        <w:tabs>
          <w:tab w:val="left" w:pos="10202"/>
        </w:tabs>
        <w:spacing w:line="360" w:lineRule="auto"/>
        <w:ind w:left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неинфекционные заболевания (ХНИЗ), к которым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относятся болезни системы кровообращения (БСК), онкологические, хронические бронхолегочные заболевания и сахарный диабет</w:t>
      </w:r>
      <w:bookmarkStart w:id="1" w:name="_GoBack1"/>
      <w:bookmarkEnd w:id="1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C820FD" w:rsidRDefault="00847762">
      <w:pPr>
        <w:pStyle w:val="Standard"/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Все факторы риска можно разделить на 2 группы.</w:t>
      </w:r>
    </w:p>
    <w:p w:rsidR="00C820FD" w:rsidRDefault="00847762">
      <w:pPr>
        <w:pStyle w:val="Standard"/>
        <w:numPr>
          <w:ilvl w:val="0"/>
          <w:numId w:val="2"/>
        </w:numPr>
        <w:spacing w:after="160" w:line="360" w:lineRule="auto"/>
        <w:jc w:val="both"/>
      </w:pPr>
      <w:r>
        <w:rPr>
          <w:rStyle w:val="a0"/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1-я группа</w:t>
      </w:r>
      <w:r>
        <w:rPr>
          <w:rStyle w:val="a0"/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- это факторы риска, на которые нельзя повлиять - пол, возраст и </w:t>
      </w:r>
      <w:r>
        <w:rPr>
          <w:rStyle w:val="a0"/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наследственная предрасположенность.</w:t>
      </w:r>
    </w:p>
    <w:p w:rsidR="00C820FD" w:rsidRDefault="00847762">
      <w:pPr>
        <w:pStyle w:val="Standard"/>
        <w:numPr>
          <w:ilvl w:val="0"/>
          <w:numId w:val="1"/>
        </w:numPr>
        <w:tabs>
          <w:tab w:val="left" w:pos="6602"/>
        </w:tabs>
        <w:spacing w:line="360" w:lineRule="auto"/>
        <w:jc w:val="both"/>
      </w:pPr>
      <w:r>
        <w:rPr>
          <w:rStyle w:val="a0"/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2-я группа</w:t>
      </w:r>
      <w:r>
        <w:rPr>
          <w:rStyle w:val="a0"/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- это факторы риска, на которые повлиять можно. К ним относятся курение, неправильное питание, низкий уровень физической активности (гиподинамия), избыточная масса тела, повышенное артериальное давление (АД), </w:t>
      </w:r>
      <w:r>
        <w:rPr>
          <w:rStyle w:val="a0"/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повышенный уровень холестерина и/или сахара крови, пагубное потребление алкоголя.</w:t>
      </w:r>
    </w:p>
    <w:p w:rsidR="00C820FD" w:rsidRDefault="00847762">
      <w:pPr>
        <w:pStyle w:val="Standard"/>
        <w:tabs>
          <w:tab w:val="left" w:pos="10202"/>
        </w:tabs>
        <w:spacing w:line="360" w:lineRule="auto"/>
        <w:jc w:val="both"/>
      </w:pPr>
      <w:r>
        <w:rPr>
          <w:rStyle w:val="a0"/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Рассмотрим основные факторы риска 2-й группы и их влияние на здоровье.</w:t>
      </w:r>
    </w:p>
    <w:p w:rsidR="00C820FD" w:rsidRDefault="00847762">
      <w:pPr>
        <w:pStyle w:val="Standard"/>
        <w:tabs>
          <w:tab w:val="left" w:pos="10202"/>
        </w:tabs>
        <w:spacing w:line="360" w:lineRule="auto"/>
        <w:jc w:val="center"/>
      </w:pPr>
      <w:r>
        <w:rPr>
          <w:rStyle w:val="a0"/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Курение.</w:t>
      </w:r>
    </w:p>
    <w:p w:rsidR="00C820FD" w:rsidRDefault="00847762">
      <w:pPr>
        <w:pStyle w:val="Standard"/>
        <w:shd w:val="clear" w:color="auto" w:fill="FFFFFF"/>
        <w:tabs>
          <w:tab w:val="left" w:pos="10202"/>
        </w:tabs>
        <w:spacing w:line="360" w:lineRule="auto"/>
        <w:jc w:val="both"/>
      </w:pPr>
      <w:r>
        <w:rPr>
          <w:rStyle w:val="a0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Курение</w:t>
      </w:r>
      <w:r>
        <w:rPr>
          <w:rStyle w:val="a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(даже одной сигареты в день)</w:t>
      </w:r>
      <w:r>
        <w:rPr>
          <w:rStyle w:val="a0"/>
          <w:rFonts w:ascii="Times New Roman" w:eastAsia="Times New Roman" w:hAnsi="Times New Roman" w:cs="Times New Roman"/>
          <w:color w:val="EF413D"/>
          <w:sz w:val="28"/>
          <w:szCs w:val="28"/>
          <w:lang w:eastAsia="ru-RU"/>
        </w:rPr>
        <w:t xml:space="preserve"> </w:t>
      </w:r>
      <w:r>
        <w:rPr>
          <w:rStyle w:val="a0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является одним из наиболее значимых факторов риска, приво</w:t>
      </w:r>
      <w:r>
        <w:rPr>
          <w:rStyle w:val="a0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дящих к развитию таких заболеваний, как рак, сердечно-сосудистые, респираторные и другие заболевания. Сердце курильщика </w:t>
      </w:r>
      <w:r>
        <w:rPr>
          <w:rStyle w:val="a0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lastRenderedPageBreak/>
        <w:t xml:space="preserve">подвергается двойной опасности: его кровь наполняется табачными ядами, а кровеносные сосуды сужаются, ухудшая кровоснабжение. </w:t>
      </w:r>
      <w:r>
        <w:rPr>
          <w:rStyle w:val="a0"/>
          <w:rFonts w:ascii="Times New Roman" w:eastAsia="Times New Roman" w:hAnsi="Times New Roman" w:cs="Times New Roman"/>
          <w:bCs/>
          <w:color w:val="4C4C4C"/>
          <w:sz w:val="28"/>
          <w:szCs w:val="28"/>
          <w:lang w:eastAsia="ru-RU"/>
        </w:rPr>
        <w:t>Важно знат</w:t>
      </w:r>
      <w:r>
        <w:rPr>
          <w:rStyle w:val="a0"/>
          <w:rFonts w:ascii="Times New Roman" w:eastAsia="Times New Roman" w:hAnsi="Times New Roman" w:cs="Times New Roman"/>
          <w:bCs/>
          <w:color w:val="4C4C4C"/>
          <w:sz w:val="28"/>
          <w:szCs w:val="28"/>
          <w:lang w:eastAsia="ru-RU"/>
        </w:rPr>
        <w:t>ь, что</w:t>
      </w:r>
      <w:r>
        <w:rPr>
          <w:rStyle w:val="a0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онкологическая опасность табакокурения</w:t>
      </w:r>
      <w:r>
        <w:rPr>
          <w:rStyle w:val="a0"/>
          <w:rFonts w:ascii="Times New Roman" w:eastAsia="Times New Roman" w:hAnsi="Times New Roman" w:cs="Times New Roman"/>
          <w:bCs/>
          <w:color w:val="4C4C4C"/>
          <w:sz w:val="28"/>
          <w:szCs w:val="28"/>
          <w:lang w:eastAsia="ru-RU"/>
        </w:rPr>
        <w:t xml:space="preserve"> значительно</w:t>
      </w:r>
      <w:r>
        <w:rPr>
          <w:rStyle w:val="a0"/>
          <w:rFonts w:ascii="Times New Roman" w:eastAsia="Times New Roman" w:hAnsi="Times New Roman" w:cs="Times New Roman"/>
          <w:b/>
          <w:bCs/>
          <w:color w:val="4C4C4C"/>
          <w:sz w:val="28"/>
          <w:szCs w:val="28"/>
          <w:lang w:eastAsia="ru-RU"/>
        </w:rPr>
        <w:t xml:space="preserve"> </w:t>
      </w:r>
      <w:r>
        <w:rPr>
          <w:rStyle w:val="a0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усугубляется</w:t>
      </w:r>
      <w:r>
        <w:rPr>
          <w:rStyle w:val="a0"/>
          <w:rFonts w:ascii="Times New Roman" w:eastAsia="Times New Roman" w:hAnsi="Times New Roman" w:cs="Times New Roman"/>
          <w:bCs/>
          <w:color w:val="4C4C4C"/>
          <w:sz w:val="28"/>
          <w:szCs w:val="28"/>
          <w:lang w:eastAsia="ru-RU"/>
        </w:rPr>
        <w:t xml:space="preserve"> при злоупотреблении алкоголем. Злоупотребление алкоголем вызывает психические и соматические нарушения, очень сильно страдает сердечно - сосудистая система. Развивается алкогольная кард</w:t>
      </w:r>
      <w:r>
        <w:rPr>
          <w:rStyle w:val="a0"/>
          <w:rFonts w:ascii="Times New Roman" w:eastAsia="Times New Roman" w:hAnsi="Times New Roman" w:cs="Times New Roman"/>
          <w:bCs/>
          <w:color w:val="4C4C4C"/>
          <w:sz w:val="28"/>
          <w:szCs w:val="28"/>
          <w:lang w:eastAsia="ru-RU"/>
        </w:rPr>
        <w:t>иомиопатия, артериальная гипертония, не исключено развитие мозгового инсульта и др.</w:t>
      </w:r>
      <w:r>
        <w:rPr>
          <w:rStyle w:val="a0"/>
          <w:rFonts w:ascii="Times New Roman" w:eastAsia="Times New Roman" w:hAnsi="Times New Roman" w:cs="Times New Roman"/>
          <w:bCs/>
          <w:color w:val="4C4C4C"/>
          <w:sz w:val="28"/>
          <w:szCs w:val="28"/>
          <w:lang w:eastAsia="ru-RU"/>
        </w:rPr>
        <w:tab/>
      </w:r>
    </w:p>
    <w:p w:rsidR="00C820FD" w:rsidRDefault="00847762">
      <w:pPr>
        <w:pStyle w:val="Standard"/>
        <w:shd w:val="clear" w:color="auto" w:fill="FFFFFF"/>
        <w:tabs>
          <w:tab w:val="left" w:pos="10202"/>
        </w:tabs>
        <w:spacing w:line="360" w:lineRule="auto"/>
        <w:jc w:val="center"/>
      </w:pPr>
      <w:r>
        <w:rPr>
          <w:rStyle w:val="a0"/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Неправильное питание.</w:t>
      </w:r>
    </w:p>
    <w:p w:rsidR="00C820FD" w:rsidRDefault="00847762">
      <w:pPr>
        <w:pStyle w:val="Standard"/>
        <w:shd w:val="clear" w:color="auto" w:fill="FFFFFF"/>
        <w:tabs>
          <w:tab w:val="left" w:pos="10202"/>
        </w:tabs>
        <w:spacing w:line="360" w:lineRule="auto"/>
        <w:jc w:val="both"/>
      </w:pPr>
      <w:r>
        <w:rPr>
          <w:rStyle w:val="a0"/>
          <w:noProof/>
          <w:lang w:val="en-US" w:eastAsia="en-U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811438</wp:posOffset>
            </wp:positionH>
            <wp:positionV relativeFrom="paragraph">
              <wp:posOffset>-39236</wp:posOffset>
            </wp:positionV>
            <wp:extent cx="4535643" cy="1943639"/>
            <wp:effectExtent l="0" t="0" r="0" b="0"/>
            <wp:wrapSquare wrapText="bothSides"/>
            <wp:docPr id="3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5643" cy="19436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820FD" w:rsidRDefault="00C820FD">
      <w:pPr>
        <w:pStyle w:val="Standard"/>
        <w:shd w:val="clear" w:color="auto" w:fill="FFFFFF"/>
        <w:tabs>
          <w:tab w:val="left" w:pos="10202"/>
        </w:tabs>
        <w:spacing w:line="360" w:lineRule="auto"/>
        <w:jc w:val="both"/>
      </w:pPr>
    </w:p>
    <w:p w:rsidR="00C820FD" w:rsidRDefault="00C820FD">
      <w:pPr>
        <w:pStyle w:val="Standard"/>
        <w:shd w:val="clear" w:color="auto" w:fill="FFFFFF"/>
        <w:tabs>
          <w:tab w:val="left" w:pos="10202"/>
        </w:tabs>
        <w:spacing w:line="360" w:lineRule="auto"/>
        <w:jc w:val="both"/>
      </w:pPr>
    </w:p>
    <w:p w:rsidR="00C820FD" w:rsidRDefault="00C820FD">
      <w:pPr>
        <w:pStyle w:val="Standard"/>
        <w:shd w:val="clear" w:color="auto" w:fill="FFFFFF"/>
        <w:tabs>
          <w:tab w:val="left" w:pos="10202"/>
        </w:tabs>
        <w:spacing w:line="360" w:lineRule="auto"/>
        <w:jc w:val="both"/>
      </w:pPr>
    </w:p>
    <w:p w:rsidR="00C820FD" w:rsidRDefault="00C820FD">
      <w:pPr>
        <w:pStyle w:val="Standard"/>
        <w:shd w:val="clear" w:color="auto" w:fill="FFFFFF"/>
        <w:tabs>
          <w:tab w:val="left" w:pos="10202"/>
        </w:tabs>
        <w:spacing w:line="360" w:lineRule="auto"/>
        <w:jc w:val="both"/>
      </w:pPr>
    </w:p>
    <w:p w:rsidR="00C820FD" w:rsidRDefault="00C820FD">
      <w:pPr>
        <w:pStyle w:val="Standard"/>
        <w:shd w:val="clear" w:color="auto" w:fill="FFFFFF"/>
        <w:tabs>
          <w:tab w:val="left" w:pos="10202"/>
        </w:tabs>
        <w:spacing w:line="360" w:lineRule="auto"/>
        <w:jc w:val="both"/>
      </w:pPr>
    </w:p>
    <w:p w:rsidR="00C820FD" w:rsidRDefault="00C820FD">
      <w:pPr>
        <w:pStyle w:val="Standard"/>
        <w:shd w:val="clear" w:color="auto" w:fill="FFFFFF"/>
        <w:tabs>
          <w:tab w:val="left" w:pos="10202"/>
        </w:tabs>
        <w:spacing w:line="360" w:lineRule="auto"/>
        <w:jc w:val="both"/>
      </w:pPr>
    </w:p>
    <w:p w:rsidR="00C820FD" w:rsidRDefault="00C820FD">
      <w:pPr>
        <w:pStyle w:val="Standard"/>
        <w:shd w:val="clear" w:color="auto" w:fill="FFFFFF"/>
        <w:tabs>
          <w:tab w:val="left" w:pos="10202"/>
        </w:tabs>
        <w:spacing w:line="360" w:lineRule="auto"/>
        <w:jc w:val="both"/>
      </w:pPr>
    </w:p>
    <w:p w:rsidR="00C820FD" w:rsidRDefault="00847762">
      <w:pPr>
        <w:pStyle w:val="Standard"/>
        <w:shd w:val="clear" w:color="auto" w:fill="FFFFFF"/>
        <w:tabs>
          <w:tab w:val="left" w:pos="10202"/>
        </w:tabs>
        <w:spacing w:line="360" w:lineRule="auto"/>
        <w:jc w:val="both"/>
      </w:pPr>
      <w:r>
        <w:rPr>
          <w:rStyle w:val="a0"/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В основе лежит избыточное потребление насыщенных жиров (сливочное масло, сало, пальмовое масло), трансжиров (жареный «фастфуд», чипсы, майон</w:t>
      </w:r>
      <w:r>
        <w:rPr>
          <w:rStyle w:val="a0"/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ез и т.п.), легкоусвояемых углеводов и соли, сахара, а также недостаточное количество овощей и фруктов в рационе. Это фактор риска для ожирения, гипертонии, сахарного диабета, инфаркта, инсульта, онкологии.</w:t>
      </w:r>
    </w:p>
    <w:p w:rsidR="00C820FD" w:rsidRDefault="00847762">
      <w:pPr>
        <w:pStyle w:val="a3"/>
        <w:shd w:val="clear" w:color="auto" w:fill="FFFFFF"/>
        <w:tabs>
          <w:tab w:val="left" w:pos="10202"/>
        </w:tabs>
        <w:spacing w:before="0" w:after="0" w:line="360" w:lineRule="auto"/>
        <w:jc w:val="center"/>
        <w:rPr>
          <w:b/>
          <w:bCs/>
          <w:color w:val="444444"/>
          <w:sz w:val="28"/>
          <w:szCs w:val="28"/>
        </w:rPr>
      </w:pPr>
      <w:r>
        <w:rPr>
          <w:b/>
          <w:bCs/>
          <w:color w:val="444444"/>
          <w:sz w:val="28"/>
          <w:szCs w:val="28"/>
        </w:rPr>
        <w:t>Повышенный уровень холестерина </w:t>
      </w:r>
    </w:p>
    <w:p w:rsidR="00C820FD" w:rsidRDefault="00847762">
      <w:pPr>
        <w:pStyle w:val="a3"/>
        <w:shd w:val="clear" w:color="auto" w:fill="FFFFFF"/>
        <w:tabs>
          <w:tab w:val="left" w:pos="10202"/>
        </w:tabs>
        <w:spacing w:before="0" w:after="0" w:line="360" w:lineRule="auto"/>
        <w:jc w:val="both"/>
      </w:pPr>
      <w:r>
        <w:rPr>
          <w:rStyle w:val="a0"/>
          <w:bCs/>
          <w:color w:val="444444"/>
          <w:sz w:val="28"/>
          <w:szCs w:val="28"/>
        </w:rPr>
        <w:t xml:space="preserve">Опасен (уровень </w:t>
      </w:r>
      <w:r>
        <w:rPr>
          <w:rStyle w:val="a0"/>
          <w:bCs/>
          <w:color w:val="444444"/>
          <w:sz w:val="28"/>
          <w:szCs w:val="28"/>
        </w:rPr>
        <w:t>общего холестерина более 5 ммоль/л), так как в составе комплексов с белками может отложиться в стенках сосудов, сузить их просвет и вызвать инфаркт миокарда или инсульт. Первый звонок, сигнализирующий о риске развития атеросклероза кровеносных сосудов и пе</w:t>
      </w:r>
      <w:r>
        <w:rPr>
          <w:rStyle w:val="a0"/>
          <w:bCs/>
          <w:color w:val="444444"/>
          <w:sz w:val="28"/>
          <w:szCs w:val="28"/>
        </w:rPr>
        <w:t>речисленных заболеваний — повышенный уровень холестерина.</w:t>
      </w:r>
    </w:p>
    <w:p w:rsidR="00C820FD" w:rsidRDefault="00847762">
      <w:pPr>
        <w:pStyle w:val="Standard"/>
        <w:shd w:val="clear" w:color="auto" w:fill="FFFFFF"/>
        <w:tabs>
          <w:tab w:val="left" w:pos="10202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Повышенное АД </w:t>
      </w:r>
    </w:p>
    <w:p w:rsidR="00C820FD" w:rsidRDefault="00847762">
      <w:pPr>
        <w:pStyle w:val="Standard"/>
        <w:shd w:val="clear" w:color="auto" w:fill="FFFFFF"/>
        <w:tabs>
          <w:tab w:val="left" w:pos="10202"/>
        </w:tabs>
        <w:spacing w:line="360" w:lineRule="auto"/>
        <w:jc w:val="both"/>
      </w:pPr>
      <w:r>
        <w:rPr>
          <w:rStyle w:val="a0"/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Главная причина развития инсульта, а также аритмий, инфаркта, сердечной недостаточности, почечной недостаточности, болезни Альцгеймера, </w:t>
      </w:r>
      <w:r>
        <w:rPr>
          <w:rStyle w:val="a0"/>
          <w:rFonts w:ascii="Times New Roman" w:eastAsia="Times New Roman" w:hAnsi="Times New Roman" w:cs="Times New Roman"/>
          <w:bCs/>
          <w:color w:val="4C4C4C"/>
          <w:sz w:val="28"/>
          <w:szCs w:val="28"/>
          <w:lang w:eastAsia="ru-RU"/>
        </w:rPr>
        <w:t xml:space="preserve">изменения сосудов глазного дна. </w:t>
      </w:r>
      <w:r>
        <w:rPr>
          <w:rStyle w:val="a0"/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 Оптимальным сч</w:t>
      </w:r>
      <w:r>
        <w:rPr>
          <w:rStyle w:val="a0"/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итается давление ниже 120/80 мм рт. ст., при цифрах выше 140/90 диагностируют артериальную гипертонию.</w:t>
      </w:r>
    </w:p>
    <w:p w:rsidR="00C820FD" w:rsidRDefault="00847762">
      <w:pPr>
        <w:pStyle w:val="Standard"/>
        <w:spacing w:line="360" w:lineRule="auto"/>
        <w:jc w:val="center"/>
      </w:pPr>
      <w:r>
        <w:rPr>
          <w:rStyle w:val="a0"/>
          <w:b/>
          <w:bCs/>
          <w:color w:val="444444"/>
          <w:sz w:val="28"/>
          <w:szCs w:val="28"/>
        </w:rPr>
        <w:t>Повышенный уровень сахара в крови</w:t>
      </w:r>
    </w:p>
    <w:p w:rsidR="00C820FD" w:rsidRDefault="00847762">
      <w:pPr>
        <w:pStyle w:val="Standard"/>
        <w:spacing w:line="360" w:lineRule="auto"/>
        <w:jc w:val="both"/>
      </w:pPr>
      <w:r>
        <w:rPr>
          <w:rStyle w:val="a0"/>
          <w:color w:val="444444"/>
          <w:sz w:val="28"/>
          <w:szCs w:val="28"/>
        </w:rPr>
        <w:t>Чаще приводит к сосудистым и сердечным осложнениям. В норме глюкоза натощак (венозная) должна быть ниже 6,1 ммоль/л.</w:t>
      </w:r>
      <w:r>
        <w:rPr>
          <w:rStyle w:val="a0"/>
          <w:color w:val="000000"/>
          <w:sz w:val="28"/>
          <w:szCs w:val="28"/>
        </w:rPr>
        <w:t xml:space="preserve"> </w:t>
      </w:r>
      <w:r>
        <w:rPr>
          <w:rStyle w:val="a0"/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</w:t>
      </w:r>
      <w:r>
        <w:rPr>
          <w:rStyle w:val="a0"/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харный диабет – одно из наиболее опасных и вместе с тем самых распространенных заболеваний, но его вполне можно предупредить.</w:t>
      </w:r>
    </w:p>
    <w:p w:rsidR="00C820FD" w:rsidRDefault="00C820FD">
      <w:pPr>
        <w:pStyle w:val="a3"/>
        <w:spacing w:before="0" w:after="0" w:line="360" w:lineRule="auto"/>
        <w:jc w:val="center"/>
      </w:pPr>
    </w:p>
    <w:p w:rsidR="00C820FD" w:rsidRDefault="00C820FD">
      <w:pPr>
        <w:pStyle w:val="a3"/>
        <w:spacing w:before="0" w:after="0" w:line="360" w:lineRule="auto"/>
        <w:jc w:val="center"/>
      </w:pPr>
    </w:p>
    <w:p w:rsidR="00C820FD" w:rsidRDefault="00847762">
      <w:pPr>
        <w:pStyle w:val="a3"/>
        <w:spacing w:before="0" w:after="0" w:line="360" w:lineRule="auto"/>
        <w:jc w:val="center"/>
      </w:pPr>
      <w:r>
        <w:rPr>
          <w:rStyle w:val="a0"/>
          <w:b/>
          <w:bCs/>
          <w:color w:val="444444"/>
          <w:sz w:val="28"/>
          <w:szCs w:val="28"/>
        </w:rPr>
        <w:t>Гиподинамия</w:t>
      </w:r>
      <w:r>
        <w:rPr>
          <w:rStyle w:val="a0"/>
          <w:bCs/>
          <w:color w:val="444444"/>
          <w:sz w:val="28"/>
          <w:szCs w:val="28"/>
        </w:rPr>
        <w:t> </w:t>
      </w:r>
    </w:p>
    <w:p w:rsidR="00C820FD" w:rsidRDefault="00847762">
      <w:pPr>
        <w:pStyle w:val="a3"/>
        <w:spacing w:before="0" w:after="0" w:line="360" w:lineRule="auto"/>
        <w:jc w:val="both"/>
      </w:pPr>
      <w:r>
        <w:rPr>
          <w:rStyle w:val="a0"/>
          <w:bCs/>
          <w:color w:val="444444"/>
          <w:sz w:val="28"/>
          <w:szCs w:val="28"/>
        </w:rPr>
        <w:t>Физическая активность считается сниженной, если человек двигается менее 30 минут в день (учитывается ходьба, работа</w:t>
      </w:r>
      <w:r>
        <w:rPr>
          <w:rStyle w:val="a0"/>
          <w:bCs/>
          <w:color w:val="444444"/>
          <w:sz w:val="28"/>
          <w:szCs w:val="28"/>
        </w:rPr>
        <w:t xml:space="preserve"> по дому и прочее). Она может привести </w:t>
      </w:r>
      <w:r>
        <w:rPr>
          <w:rStyle w:val="a0"/>
          <w:bCs/>
          <w:color w:val="4C4C4C"/>
          <w:sz w:val="28"/>
          <w:szCs w:val="28"/>
        </w:rPr>
        <w:t xml:space="preserve">к ожирению, которое является одним из главных факторов не только артериальной гипертонии, но и ишемической болезни сердца, диабета, подагры и ряда других ХНИЗ. </w:t>
      </w:r>
      <w:r>
        <w:rPr>
          <w:rStyle w:val="a0"/>
          <w:bCs/>
          <w:color w:val="444444"/>
          <w:sz w:val="28"/>
          <w:szCs w:val="28"/>
        </w:rPr>
        <w:t>Согласно данным ВОЗ большинство больных диабетом страдают</w:t>
      </w:r>
      <w:r>
        <w:rPr>
          <w:rStyle w:val="a0"/>
          <w:bCs/>
          <w:color w:val="444444"/>
          <w:sz w:val="28"/>
          <w:szCs w:val="28"/>
        </w:rPr>
        <w:t xml:space="preserve"> от диабета 2-ого типа, что является результатом излишнего веса (индекс массы тела - 25кг/м</w:t>
      </w:r>
      <w:r>
        <w:rPr>
          <w:rStyle w:val="a0"/>
          <w:rFonts w:ascii="Noto Sans" w:hAnsi="Noto Sans"/>
          <w:bCs/>
          <w:color w:val="444444"/>
          <w:sz w:val="28"/>
          <w:szCs w:val="28"/>
        </w:rPr>
        <w:t xml:space="preserve">² </w:t>
      </w:r>
      <w:r>
        <w:rPr>
          <w:rStyle w:val="a0"/>
          <w:bCs/>
          <w:color w:val="444444"/>
          <w:sz w:val="28"/>
          <w:szCs w:val="28"/>
        </w:rPr>
        <w:t>и более) и низкой физической активности.</w:t>
      </w:r>
    </w:p>
    <w:p w:rsidR="00C820FD" w:rsidRDefault="00847762">
      <w:pPr>
        <w:pStyle w:val="a3"/>
        <w:spacing w:before="0" w:after="0" w:line="360" w:lineRule="auto"/>
        <w:jc w:val="center"/>
      </w:pPr>
      <w:r>
        <w:rPr>
          <w:rStyle w:val="a0"/>
          <w:b/>
          <w:bCs/>
          <w:color w:val="444444"/>
          <w:sz w:val="28"/>
          <w:szCs w:val="28"/>
        </w:rPr>
        <w:t>Меры профилактики ХНИЗ</w:t>
      </w:r>
    </w:p>
    <w:p w:rsidR="00C820FD" w:rsidRDefault="00847762">
      <w:pPr>
        <w:pStyle w:val="a3"/>
        <w:numPr>
          <w:ilvl w:val="0"/>
          <w:numId w:val="1"/>
        </w:numPr>
        <w:spacing w:before="0" w:after="0" w:line="360" w:lineRule="auto"/>
        <w:jc w:val="both"/>
      </w:pPr>
      <w:r>
        <w:rPr>
          <w:rStyle w:val="a0"/>
          <w:bCs/>
          <w:color w:val="444444"/>
          <w:sz w:val="28"/>
          <w:szCs w:val="28"/>
        </w:rPr>
        <w:t>избавиться от вредных привычек: бросить курить и злоупотреблять алкоголем;</w:t>
      </w:r>
    </w:p>
    <w:p w:rsidR="00C820FD" w:rsidRDefault="00847762">
      <w:pPr>
        <w:pStyle w:val="a3"/>
        <w:numPr>
          <w:ilvl w:val="0"/>
          <w:numId w:val="1"/>
        </w:numPr>
        <w:spacing w:before="0" w:after="0" w:line="360" w:lineRule="auto"/>
        <w:jc w:val="both"/>
      </w:pPr>
      <w:r>
        <w:rPr>
          <w:rStyle w:val="a0"/>
          <w:bCs/>
          <w:color w:val="444444"/>
          <w:sz w:val="28"/>
          <w:szCs w:val="28"/>
        </w:rPr>
        <w:t xml:space="preserve"> следить за полноценным </w:t>
      </w:r>
      <w:r>
        <w:rPr>
          <w:rStyle w:val="a0"/>
          <w:bCs/>
          <w:color w:val="444444"/>
          <w:sz w:val="28"/>
          <w:szCs w:val="28"/>
        </w:rPr>
        <w:t>и рациональным питанием, употреблять в пищу ежедневно не менее 400гр овощей и фруктов (за исключением картофеля), сократить в ежедневном меню использование твёрдых животных жиров - до 10% от рациона (жирных молочных продуктов, жирных сортов сыра, сдобную в</w:t>
      </w:r>
      <w:r>
        <w:rPr>
          <w:rStyle w:val="a0"/>
          <w:bCs/>
          <w:color w:val="444444"/>
          <w:sz w:val="28"/>
          <w:szCs w:val="28"/>
        </w:rPr>
        <w:t>ыпечку, жирное мясо, яичный желток), больше использовать растительные масла (20% от рациона), сократить употребление сахара и соли (по рекомендации ВОЗ - 5гр. в день — 1ч.л.);</w:t>
      </w:r>
    </w:p>
    <w:p w:rsidR="00C820FD" w:rsidRDefault="00847762">
      <w:pPr>
        <w:pStyle w:val="a3"/>
        <w:numPr>
          <w:ilvl w:val="0"/>
          <w:numId w:val="1"/>
        </w:numPr>
        <w:spacing w:before="0" w:after="0" w:line="360" w:lineRule="auto"/>
        <w:jc w:val="both"/>
      </w:pPr>
      <w:r>
        <w:rPr>
          <w:rStyle w:val="a0"/>
          <w:bCs/>
          <w:color w:val="444444"/>
          <w:sz w:val="28"/>
          <w:szCs w:val="28"/>
        </w:rPr>
        <w:t>вести активный образ жизни (делать утреннюю зарядку, больше ходить пешком, заним</w:t>
      </w:r>
      <w:r>
        <w:rPr>
          <w:rStyle w:val="a0"/>
          <w:bCs/>
          <w:color w:val="444444"/>
          <w:sz w:val="28"/>
          <w:szCs w:val="28"/>
        </w:rPr>
        <w:t>аться спортом, ЛФК);</w:t>
      </w:r>
    </w:p>
    <w:p w:rsidR="00C820FD" w:rsidRDefault="00847762">
      <w:pPr>
        <w:pStyle w:val="a3"/>
        <w:numPr>
          <w:ilvl w:val="0"/>
          <w:numId w:val="1"/>
        </w:numPr>
        <w:spacing w:before="0" w:after="0" w:line="360" w:lineRule="auto"/>
        <w:jc w:val="both"/>
        <w:rPr>
          <w:bCs/>
          <w:color w:val="444444"/>
          <w:sz w:val="28"/>
          <w:szCs w:val="28"/>
        </w:rPr>
      </w:pPr>
      <w:r>
        <w:rPr>
          <w:bCs/>
          <w:color w:val="444444"/>
          <w:sz w:val="28"/>
          <w:szCs w:val="28"/>
        </w:rPr>
        <w:t>вести контроль артериального давления, особенно лицам с повышенными факторами риска, регулярно посещать врача (при постановке диагноза артериальная гипертензия).</w:t>
      </w:r>
    </w:p>
    <w:p w:rsidR="00C820FD" w:rsidRDefault="00847762">
      <w:pPr>
        <w:pStyle w:val="Standard"/>
        <w:numPr>
          <w:ilvl w:val="0"/>
          <w:numId w:val="1"/>
        </w:numPr>
        <w:spacing w:line="360" w:lineRule="auto"/>
        <w:jc w:val="both"/>
      </w:pPr>
      <w:r>
        <w:rPr>
          <w:rStyle w:val="a0"/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систематическая явка на диспансеризацию поможет своевременно распознать </w:t>
      </w:r>
      <w:r>
        <w:rPr>
          <w:rStyle w:val="a0"/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предвестники недуга и принять меры, чтобы ликвидировать их. </w:t>
      </w:r>
      <w:r>
        <w:rPr>
          <w:rStyle w:val="a0"/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 соответствии с Порядком проведения диспансеризации взрослого населения каждый человек, начиная с 18 лет, может пройти </w:t>
      </w:r>
      <w:r>
        <w:rPr>
          <w:rStyle w:val="a0"/>
          <w:rFonts w:ascii="Times New Roman" w:hAnsi="Times New Roman"/>
          <w:sz w:val="28"/>
          <w:szCs w:val="28"/>
          <w:lang w:eastAsia="ru-RU"/>
        </w:rPr>
        <w:t>диспансеризацию 1 раз в 3 года, лица старше 40 лет - проходят ежегодно.</w:t>
      </w:r>
    </w:p>
    <w:p w:rsidR="00C820FD" w:rsidRDefault="00847762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 рац</w:t>
      </w:r>
      <w:r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иональный режим труда и отдыха (полноценный сон).</w:t>
      </w:r>
    </w:p>
    <w:p w:rsidR="00C820FD" w:rsidRDefault="00847762">
      <w:pPr>
        <w:pStyle w:val="Standard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Берегите свое здоровье!</w:t>
      </w:r>
    </w:p>
    <w:p w:rsidR="00C820FD" w:rsidRDefault="00C820FD">
      <w:pPr>
        <w:pStyle w:val="Standard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C820FD" w:rsidRDefault="00847762">
      <w:pPr>
        <w:pStyle w:val="Standard"/>
        <w:spacing w:line="360" w:lineRule="auto"/>
        <w:jc w:val="center"/>
      </w:pPr>
      <w:r>
        <w:rPr>
          <w:rStyle w:val="a0"/>
          <w:noProof/>
          <w:lang w:val="en-US" w:eastAsia="en-US" w:bidi="ar-SA"/>
        </w:rPr>
        <w:drawing>
          <wp:inline distT="0" distB="0" distL="0" distR="0">
            <wp:extent cx="2276471" cy="2276471"/>
            <wp:effectExtent l="0" t="0" r="0" b="0"/>
            <wp:docPr id="4" name="Рисунок 3" descr="https://avatars.mds.yandex.net/i?id=cd0509f93195b5596914ba2601ba1eb9add3909b-5367291-images-thumbs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1" cy="22764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C820FD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47762">
      <w:r>
        <w:separator/>
      </w:r>
    </w:p>
  </w:endnote>
  <w:endnote w:type="continuationSeparator" w:id="0">
    <w:p w:rsidR="00000000" w:rsidRDefault="00847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Devanagari">
    <w:charset w:val="00"/>
    <w:family w:val="auto"/>
    <w:pitch w:val="variable"/>
  </w:font>
  <w:font w:name="Liberation Sans"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Noto Sans"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47762">
      <w:r>
        <w:rPr>
          <w:color w:val="000000"/>
        </w:rPr>
        <w:separator/>
      </w:r>
    </w:p>
  </w:footnote>
  <w:footnote w:type="continuationSeparator" w:id="0">
    <w:p w:rsidR="00000000" w:rsidRDefault="008477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F61A26"/>
    <w:multiLevelType w:val="multilevel"/>
    <w:tmpl w:val="B7D88CF8"/>
    <w:styleLink w:val="WWNum2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num w:numId="1">
    <w:abstractNumId w:val="0"/>
  </w:num>
  <w:num w:numId="2">
    <w:abstractNumId w:val="0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revisionView w:inkAnnotations="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C820FD"/>
    <w:rsid w:val="00847762"/>
    <w:rsid w:val="00C8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37278EB-94BB-4A2B-887E-01597EF56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Tahoma" w:hAnsi="Liberation Serif" w:cs="Noto Sans Devanagari"/>
        <w:kern w:val="3"/>
        <w:sz w:val="24"/>
        <w:szCs w:val="24"/>
        <w:lang w:val="ru-RU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suppressAutoHyphens/>
    </w:pPr>
  </w:style>
  <w:style w:type="character" w:customStyle="1" w:styleId="a0">
    <w:name w:val="Основной шрифт абзаца"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customStyle="1" w:styleId="a1">
    <w:name w:val="Список"/>
    <w:basedOn w:val="Textbody"/>
  </w:style>
  <w:style w:type="paragraph" w:customStyle="1" w:styleId="a2">
    <w:name w:val="Название объекта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a3">
    <w:name w:val="Обычный (веб)"/>
    <w:basedOn w:val="Standard"/>
    <w:pPr>
      <w:spacing w:before="280" w:after="280"/>
    </w:pPr>
    <w:rPr>
      <w:rFonts w:ascii="Times New Roman" w:eastAsia="Times New Roman" w:hAnsi="Times New Roman" w:cs="Times New Roman"/>
      <w:lang w:eastAsia="ru-RU"/>
    </w:rPr>
  </w:style>
  <w:style w:type="paragraph" w:customStyle="1" w:styleId="Standarduser">
    <w:name w:val="Standard (user)"/>
    <w:pPr>
      <w:suppressAutoHyphens/>
    </w:p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Wingdings"/>
    </w:rPr>
  </w:style>
  <w:style w:type="character" w:customStyle="1" w:styleId="ListLabel3">
    <w:name w:val="ListLabel 3"/>
    <w:rPr>
      <w:rFonts w:cs="Symbol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Wingdings"/>
    </w:rPr>
  </w:style>
  <w:style w:type="character" w:customStyle="1" w:styleId="ListLabel6">
    <w:name w:val="ListLabel 6"/>
    <w:rPr>
      <w:rFonts w:cs="Symbol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Wingdings"/>
    </w:rPr>
  </w:style>
  <w:style w:type="numbering" w:customStyle="1" w:styleId="WWNum2">
    <w:name w:val="WWNum2"/>
    <w:basedOn w:val="NoList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685</Words>
  <Characters>3909</Characters>
  <Application>Microsoft Office Word</Application>
  <DocSecurity>4</DocSecurity>
  <Lines>32</Lines>
  <Paragraphs>9</Paragraphs>
  <ScaleCrop>false</ScaleCrop>
  <Company/>
  <LinksUpToDate>false</LinksUpToDate>
  <CharactersWithSpaces>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word</cp:lastModifiedBy>
  <cp:revision>2</cp:revision>
  <dcterms:created xsi:type="dcterms:W3CDTF">2025-03-17T12:35:00Z</dcterms:created>
  <dcterms:modified xsi:type="dcterms:W3CDTF">2025-03-17T12:35:00Z</dcterms:modified>
</cp:coreProperties>
</file>